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5901B0" w:rsidRPr="002F40EA" w:rsidP="005901B0">
      <w:pPr>
        <w:ind w:left="540" w:right="419"/>
        <w:rPr>
          <w:b/>
          <w:color w:val="AF272F"/>
          <w:sz w:val="36"/>
          <w:szCs w:val="44"/>
          <w:lang w:val="en-AU"/>
        </w:rPr>
      </w:pPr>
      <w:r w:rsidRPr="002F40EA">
        <w:rPr>
          <w:b/>
          <w:color w:val="AF272F"/>
          <w:sz w:val="36"/>
          <w:szCs w:val="44"/>
          <w:lang w:val="en-AU"/>
        </w:rPr>
        <w:t xml:space="preserve">Annual Implementation Plan - </w:t>
      </w:r>
      <w:r w:rsidRPr="002F40EA">
        <w:rPr>
          <w:b/>
          <w:noProof/>
          <w:color w:val="AF272F"/>
          <w:sz w:val="36"/>
          <w:szCs w:val="36"/>
          <w:lang w:val="en-AU"/>
        </w:rPr>
        <w:t>2024</w:t>
      </w:r>
    </w:p>
    <w:p w:rsidR="00843995" w:rsidRPr="002F40EA" w:rsidP="00704A32">
      <w:pPr>
        <w:ind w:left="540" w:right="419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 xml:space="preserve">Define </w:t>
      </w:r>
      <w:r w:rsidRPr="002F40EA" w:rsidR="00802D4E">
        <w:rPr>
          <w:b/>
          <w:color w:val="AF272F"/>
          <w:sz w:val="32"/>
          <w:szCs w:val="32"/>
          <w:lang w:val="en-AU"/>
        </w:rPr>
        <w:t>a</w:t>
      </w:r>
      <w:r w:rsidRPr="002F40EA" w:rsidR="00421A18">
        <w:rPr>
          <w:b/>
          <w:color w:val="AF272F"/>
          <w:sz w:val="32"/>
          <w:szCs w:val="32"/>
          <w:lang w:val="en-AU"/>
        </w:rPr>
        <w:t xml:space="preserve">ctions, </w:t>
      </w:r>
      <w:r w:rsidRPr="002F40EA" w:rsidR="00802D4E">
        <w:rPr>
          <w:b/>
          <w:color w:val="AF272F"/>
          <w:sz w:val="32"/>
          <w:szCs w:val="32"/>
          <w:lang w:val="en-AU"/>
        </w:rPr>
        <w:t>o</w:t>
      </w:r>
      <w:r w:rsidRPr="002F40EA" w:rsidR="00421A18">
        <w:rPr>
          <w:b/>
          <w:color w:val="AF272F"/>
          <w:sz w:val="32"/>
          <w:szCs w:val="32"/>
          <w:lang w:val="en-AU"/>
        </w:rPr>
        <w:t>utcomes</w:t>
      </w:r>
      <w:r w:rsidRPr="002F40EA" w:rsidR="00802D4E">
        <w:rPr>
          <w:b/>
          <w:color w:val="AF272F"/>
          <w:sz w:val="32"/>
          <w:szCs w:val="32"/>
          <w:lang w:val="en-AU"/>
        </w:rPr>
        <w:t>, success indicators</w:t>
      </w:r>
      <w:r w:rsidRPr="002F40EA" w:rsidR="00421A18">
        <w:rPr>
          <w:b/>
          <w:color w:val="AF272F"/>
          <w:sz w:val="32"/>
          <w:szCs w:val="32"/>
          <w:lang w:val="en-AU"/>
        </w:rPr>
        <w:t xml:space="preserve"> and</w:t>
      </w:r>
      <w:r w:rsidRPr="002F40EA">
        <w:rPr>
          <w:b/>
          <w:color w:val="AF272F"/>
          <w:sz w:val="32"/>
          <w:szCs w:val="32"/>
          <w:lang w:val="en-AU"/>
        </w:rPr>
        <w:t xml:space="preserve"> </w:t>
      </w:r>
      <w:r w:rsidRPr="002F40EA" w:rsidR="00802D4E">
        <w:rPr>
          <w:b/>
          <w:color w:val="AF272F"/>
          <w:sz w:val="32"/>
          <w:szCs w:val="32"/>
          <w:lang w:val="en-AU"/>
        </w:rPr>
        <w:t>a</w:t>
      </w:r>
      <w:r w:rsidRPr="002F40EA">
        <w:rPr>
          <w:b/>
          <w:color w:val="AF272F"/>
          <w:sz w:val="32"/>
          <w:szCs w:val="32"/>
          <w:lang w:val="en-AU"/>
        </w:rPr>
        <w:t>ctivities</w:t>
      </w:r>
    </w:p>
    <w:p w:rsidR="00843995" w:rsidRPr="002F40EA" w:rsidP="00696980">
      <w:pPr>
        <w:pStyle w:val="ESIntroParagraph"/>
        <w:ind w:left="-567" w:right="1247" w:firstLine="1107"/>
        <w:rPr>
          <w:color w:val="595959" w:themeColor="text1" w:themeTint="A6"/>
          <w:lang w:val="en-AU"/>
        </w:rPr>
      </w:pPr>
      <w:r w:rsidRPr="002F40EA">
        <w:rPr>
          <w:noProof/>
          <w:color w:val="595959" w:themeColor="text1" w:themeTint="A6"/>
          <w:lang w:val="en-AU"/>
        </w:rPr>
        <w:t>Simpson Primary School (4895)</w:t>
      </w:r>
    </w:p>
    <w:p w:rsidR="00843995" w:rsidRPr="002F40EA" w:rsidP="00AF3BC2">
      <w:pPr>
        <w:pStyle w:val="ESIntroParagraph"/>
        <w:ind w:left="-562" w:right="4334"/>
        <w:rPr>
          <w:lang w:val="en-AU"/>
        </w:rPr>
      </w:pPr>
    </w:p>
    <w:p w:rsidR="00843995" w:rsidRPr="002F40EA" w:rsidP="00D84C0F">
      <w:pPr>
        <w:pStyle w:val="Heading1"/>
        <w:ind w:left="-567"/>
        <w:rPr>
          <w:lang w:val="en-AU"/>
        </w:rPr>
      </w:pPr>
    </w:p>
    <w:p w:rsidR="000B4FFD" w:rsidRPr="002F40EA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:rsidR="00EC5878" w:rsidRPr="002F40EA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:rsidR="00BA5195" w:rsidRPr="002F40EA" w:rsidP="00CB0768">
      <w:pPr>
        <w:pStyle w:val="ESHeading2"/>
        <w:jc w:val="center"/>
        <w:rPr>
          <w:lang w:val="en-AU"/>
        </w:rPr>
      </w:pPr>
      <w:r w:rsidRPr="002F40EA">
        <w:rPr>
          <w:b w:val="0"/>
          <w:noProof/>
          <w:sz w:val="44"/>
          <w:szCs w:val="44"/>
          <w:lang w:val="en-AU"/>
        </w:rPr>
        <w:drawing>
          <wp:anchor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2857899"/>
            <wp:wrapNone/>
            <wp:docPr id="10001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68" w:rsidRPr="002F40EA" w:rsidP="00A5212F">
      <w:pPr>
        <w:pStyle w:val="ESBodyText"/>
        <w:rPr>
          <w:lang w:val="en-AU"/>
        </w:rPr>
        <w:sectPr w:rsidSect="00E36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2F40EA"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>
                <wp:simplePos x="0" y="0"/>
                <wp:positionH relativeFrom="margin">
                  <wp:posOffset>100330</wp:posOffset>
                </wp:positionH>
                <wp:positionV relativeFrom="bottomMargin">
                  <wp:posOffset>-1260475</wp:posOffset>
                </wp:positionV>
                <wp:extent cx="9773920" cy="1134110"/>
                <wp:effectExtent l="0" t="0" r="0" b="889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12F" w:rsidP="00A5212F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Melissa Berry (School Principal) on 04 December, 2023 at 03:07 PM</w:t>
                              <w:br/>
                              <w:t>Endorsed by Cherie Kilpatrick (Senior Education Improvement Leader) on 19 December, 2023 at 11:03 AM</w:t>
                              <w:br/>
                              <w:t>Endorsed by Dean Capizzi (School Council President) on 20 December, 2023 at 09:39 AM</w:t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3pt;margin-left:7.9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pt;z-index:-251657216" fillcolor="white" stroked="f" strokeweight="0.75pt">
                <v:stroke joinstyle="miter"/>
                <v:textbox>
                  <w:txbxContent>
                    <w:p w:rsidR="00A5212F" w:rsidP="00A5212F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Melissa Berry (School Principal) on 04 December, 2023 at 03:07 PM</w:t>
                        <w:br/>
                        <w:t>Endorsed by Cherie Kilpatrick (Senior Education Improvement Leader) on 19 December, 2023 at 11:03 AM</w:t>
                        <w:br/>
                        <w:t>Endorsed by Dean Capizzi (School Council President) on 20 December, 2023 at 09:39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6307C3" w:rsidRPr="002F40EA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 xml:space="preserve">Define </w:t>
      </w:r>
      <w:r w:rsidRPr="002F40EA" w:rsidR="00802D4E">
        <w:rPr>
          <w:b/>
          <w:color w:val="AF272F"/>
          <w:sz w:val="32"/>
          <w:szCs w:val="32"/>
          <w:lang w:val="en-AU"/>
        </w:rPr>
        <w:t>a</w:t>
      </w:r>
      <w:r w:rsidRPr="002F40EA" w:rsidR="00510C5D">
        <w:rPr>
          <w:b/>
          <w:color w:val="AF272F"/>
          <w:sz w:val="32"/>
          <w:szCs w:val="32"/>
          <w:lang w:val="en-AU"/>
        </w:rPr>
        <w:t xml:space="preserve">ctions, </w:t>
      </w:r>
      <w:r w:rsidRPr="002F40EA" w:rsidR="00802D4E">
        <w:rPr>
          <w:b/>
          <w:color w:val="AF272F"/>
          <w:sz w:val="32"/>
          <w:szCs w:val="32"/>
          <w:lang w:val="en-AU"/>
        </w:rPr>
        <w:t>o</w:t>
      </w:r>
      <w:r w:rsidRPr="002F40EA" w:rsidR="00510C5D">
        <w:rPr>
          <w:b/>
          <w:color w:val="AF272F"/>
          <w:sz w:val="32"/>
          <w:szCs w:val="32"/>
          <w:lang w:val="en-AU"/>
        </w:rPr>
        <w:t>utcomes</w:t>
      </w:r>
      <w:r w:rsidRPr="002F40EA" w:rsidR="00802D4E">
        <w:rPr>
          <w:b/>
          <w:color w:val="AF272F"/>
          <w:sz w:val="32"/>
          <w:szCs w:val="32"/>
          <w:lang w:val="en-AU"/>
        </w:rPr>
        <w:t>, success indicators</w:t>
      </w:r>
      <w:r w:rsidRPr="002F40EA" w:rsidR="00510C5D">
        <w:rPr>
          <w:b/>
          <w:color w:val="AF272F"/>
          <w:sz w:val="32"/>
          <w:szCs w:val="32"/>
          <w:lang w:val="en-AU"/>
        </w:rPr>
        <w:t xml:space="preserve"> and</w:t>
      </w:r>
      <w:r w:rsidRPr="002F40EA" w:rsidR="008846DA">
        <w:rPr>
          <w:b/>
          <w:color w:val="AF272F"/>
          <w:sz w:val="32"/>
          <w:szCs w:val="32"/>
          <w:lang w:val="en-AU"/>
        </w:rPr>
        <w:t xml:space="preserve"> </w:t>
      </w:r>
      <w:r w:rsidRPr="002F40EA" w:rsidR="00802D4E">
        <w:rPr>
          <w:b/>
          <w:color w:val="AF272F"/>
          <w:sz w:val="32"/>
          <w:szCs w:val="32"/>
          <w:lang w:val="en-AU"/>
        </w:rPr>
        <w:t>a</w:t>
      </w:r>
      <w:r w:rsidRPr="002F40EA" w:rsidR="00ED5CB1">
        <w:rPr>
          <w:b/>
          <w:color w:val="AF272F"/>
          <w:sz w:val="32"/>
          <w:szCs w:val="32"/>
          <w:lang w:val="en-AU"/>
        </w:rPr>
        <w:t>ctivities</w:t>
      </w:r>
    </w:p>
    <w:p w:rsidR="005539D1" w:rsidRPr="002F40EA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086"/>
        <w:gridCol w:w="3150"/>
        <w:gridCol w:w="1530"/>
        <w:gridCol w:w="2070"/>
        <w:gridCol w:w="2160"/>
      </w:tblGrid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b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:rsidR="00973DEE" w:rsidRPr="002F40EA" w:rsidP="00FE3D5C">
            <w:pPr>
              <w:pStyle w:val="ESBodyText"/>
              <w:spacing w:after="0"/>
              <w:rPr>
                <w:color w:val="auto"/>
                <w:sz w:val="20"/>
                <w:szCs w:val="24"/>
                <w:lang w:val="en-AU"/>
              </w:rPr>
            </w:pPr>
            <w:r w:rsidRPr="002F40EA">
              <w:rPr>
                <w:rStyle w:val="DefaultParagraphFont"/>
                <w:color w:val="auto"/>
                <w:sz w:val="20"/>
                <w:szCs w:val="24"/>
              </w:rPr>
              <w:t>Maximise the learning achievement and growth of every student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2.1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Unable to set target goals at this time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2.2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Increase the percentage of equity funded students for reading and viewing from 81% to 83% by the end of 2024.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2.3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Maintain the percentage of students assessed as achieving above or expected growth:</w:t>
              <w:br/>
              <w:t>- for reading and viewing from 84% in 2022 to 87% and in number and algebra from 82% in 2022 to 86%.</w:t>
              <w:br/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2.4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To maintain:</w:t>
              <w:br/>
              <w:t>-collective efficacy at 90% in 2024 and knowledge of high impact teaching strategies at 67% in 2023.</w:t>
              <w:br/>
              <w:br/>
              <w:t>To increase %:</w:t>
              <w:br/>
              <w:t>- feedback from 67% in 2023 to 70% in 2024</w:t>
              <w:br/>
              <w:t>- staff trust in colleagues from 55% in 2023 to 60% in 2024.</w:t>
              <w:br/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KIS 2.a</w:t>
            </w:r>
          </w:p>
          <w:p>
            <w:r>
              <w:rPr>
                <w:sz w:val="20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5"/>
            <w:shd w:val="clear" w:color="auto" w:fill="FFD062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Develop a whole school understanding of the PLC framework to develop a culture of collaborative adult learning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Embed PLC structures to support teacher collaboration, continuous improvement and strengthen teaching practice. 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973DEE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  <w:noWrap w:val="0"/>
          </w:tcPr>
          <w:p w:rsidR="00973DE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Students will experience targeted teaching at point of need.</w:t>
              <w:br/>
              <w:t>Students in need of target academic support or intervention will be identified and supported.</w:t>
              <w:br/>
              <w:t>Teachers and tutor will identify students learning needs in literacy and mathematics based on diagnostic assessment data.</w:t>
              <w:br/>
              <w:t>Teachers will plan for differentiation based on student learning data.</w:t>
              <w:br/>
              <w:t>Teachers will provide regular feedback and monitor student progress using data walls.</w:t>
              <w:br/>
              <w:t>Teachers will meet in PLC meetings to engage in reflective practice, evaluate and plan curriculum, assessments, lessons.</w:t>
              <w:br/>
              <w:t>Leadership will support staff to embed the use of data walls for numeracy to inform targeted planning.</w:t>
              <w:br/>
              <w:t>Leadership will ensure the PLC schedule is established, norms and expectations are in place, implemented and monitored for impact.</w:t>
              <w:br/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7137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  <w:gridSpan w:val="5"/>
            <w:noWrap w:val="0"/>
          </w:tcPr>
          <w:p w:rsidR="00171379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Early Indicators:</w:t>
              <w:br/>
              <w:t>Continued involvement in WSW Numeracy Learning CoP.</w:t>
              <w:br/>
              <w:t>Involvement in WSW Literacy Learning Community</w:t>
              <w:br/>
              <w:t>MOI data.</w:t>
              <w:br/>
              <w:t>NAPLAN results.</w:t>
              <w:br/>
              <w:t>Teacher records and observations of student progress which will be part of the PLC process. Data shared during PLC meetings.</w:t>
              <w:br/>
              <w:t>Data wall established, regularly updated and referred to.</w:t>
              <w:br/>
              <w:t xml:space="preserve">Classroom observations and learning walks demonstrating use of strategies from professional learning. </w:t>
              <w:br/>
              <w:br/>
              <w:br/>
              <w:t>Late indicators:</w:t>
              <w:br/>
              <w:t>Progress against Individual Education Plans.</w:t>
              <w:br/>
              <w:t>Data wall established, regularly updated and referred to.</w:t>
              <w:br/>
              <w:t>Semester 2 teacher judgements.</w:t>
              <w:br/>
              <w:t>Post-test results from assessments from sources such as PAT or Essential Assessment.</w:t>
              <w:br/>
            </w:r>
          </w:p>
        </w:tc>
      </w:tr>
      <w:tr w:rsidTr="006C7A56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 w:rsidR="00802D4E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E1FC6" w:rsidRPr="002F40EA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 w:rsidR="00103446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 w:rsidR="00802D4E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Top Ten Numeracy Professional Learning</w:t>
              <w:br/>
              <w:t>'Multiplicative Thinking'</w:t>
              <w:br/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All staff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3</w:t>
            </w:r>
          </w:p>
          <w:p>
            <w:r>
              <w:rPr>
                <w:sz w:val="20"/>
              </w:rPr>
              <w:t>to:</w:t>
              <w:br/>
              <w:t>Term 3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$4,000.00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Equity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Continued engagement in the WSW Numeracy Learning CoP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$10,000.00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Equity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Engagement in WSW Literacy Learning Community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$10,000.00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Equity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2024 TLI model established. Tutor employed at 0.4 FTE.  Co-teaching cycles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3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$26,500.00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Other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PLC learning sprint cycles will occur each term with agreed shared common challenge inquiry focus</w:t>
              <w:br/>
              <w:t xml:space="preserve">- use HITS to plan lessons and units </w:t>
              <w:br/>
              <w:t>- consistently and explicitly implement the school’s instructional model</w:t>
              <w:br/>
              <w:t>- consistent implementation of Sounds Write across P-6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All staff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$0.00</w:t>
            </w:r>
          </w:p>
          <w:p/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7B5E7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KIS 2.c</w:t>
            </w:r>
          </w:p>
          <w:p>
            <w:r>
              <w:rPr>
                <w:sz w:val="20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11996" w:type="dxa"/>
            <w:gridSpan w:val="5"/>
            <w:shd w:val="clear" w:color="auto" w:fill="57B5E7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Embed whole school assessment, curriculum and planning practices with fidelity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Ensure staff will apply a common approach to planning and implement a whole school literacy and numeracy model.</w:t>
              <w:br/>
              <w:t>Build staff capacity in Disability Inclusion to inform understanding of student needs and identify students requiring additional support.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973DEE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  <w:noWrap w:val="0"/>
          </w:tcPr>
          <w:p w:rsidR="00973DE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Students will know what their next steps are to progress their learning.</w:t>
              <w:br/>
              <w:t>Students will know how lessons are structured and how this supports their learning.</w:t>
              <w:br/>
              <w:t>Teachers will consistently implement the agreed assessment schedule.</w:t>
              <w:br/>
              <w:t>Teachers will plan lessons using and implement the agreed whole school literacy and numeracy model.</w:t>
              <w:br/>
              <w:t>Teachers and Leadership will review and update the Numeracy Scope and Sequence to reflect the Mathematics 2.0 Curriculum.</w:t>
              <w:br/>
              <w:t>Leaders will support all staff to build assessment, differentiation and inclusive practices through consistent, clear processes and professional learning.</w:t>
              <w:br/>
              <w:t>Leadership will support staff with Disability Inclusion with professional learning.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7137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  <w:gridSpan w:val="5"/>
            <w:noWrap w:val="0"/>
          </w:tcPr>
          <w:p w:rsidR="00171379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Early Indicators:</w:t>
              <w:br/>
              <w:t>Year level curriculum documentation will show plans for differentiation in Literacy and Numeracy..</w:t>
              <w:br/>
              <w:t>Numeracy Instructional Model - common planning framework.</w:t>
              <w:br/>
              <w:t>Continued involvement in WSW Numeracy Learning CoP.</w:t>
              <w:br/>
              <w:t xml:space="preserve">Classroom observations and learning walks demonstrating use of strategies from professional learning. </w:t>
              <w:br/>
              <w:t>Student IEPs describe adjustments to meet their needs and implementation, monitoring and evaluation will be observed.</w:t>
              <w:br/>
              <w:br/>
              <w:t>Late Indicators:</w:t>
              <w:br/>
              <w:t>Clear understanding of Tier 1-3 students and their needs (documented in IEPs).</w:t>
              <w:br/>
              <w:t>Time allocated for staff to develop/review IEPs and attend SSG meetings.</w:t>
              <w:br/>
              <w:t>Student IEPs with evidence to support adjustments to meet their needs, ready for DIP meetings.</w:t>
              <w:br/>
            </w:r>
          </w:p>
        </w:tc>
      </w:tr>
      <w:tr w:rsidTr="006C7A56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 w:rsidR="00802D4E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E1FC6" w:rsidRPr="002F40EA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 w:rsidR="00103446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 w:rsidR="00802D4E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Observation/Learning walks, feedback and reflection of Literacy and Numeracy.</w:t>
              <w:br/>
              <w:t>- Within Simpson PS</w:t>
              <w:br/>
              <w:t>- Visiting other network schools</w:t>
              <w:br/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All staff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$6,000.00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Equity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Continued Disability Inclusion Professional Learning for staff, focussing on IEP's, leading into DIP meetings.  </w:t>
              <w:br/>
              <w:t>Time allocated for staff to develop/review IEPs and attend SSG/DIP meetings.</w:t>
              <w:br/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$25,000.00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Disability Inclusion Tier 2 Funding will be used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b/>
                <w:sz w:val="24"/>
                <w:szCs w:val="24"/>
                <w:lang w:val="en-AU"/>
              </w:rPr>
              <w:t>Goal 3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:rsidR="00973DEE" w:rsidRPr="002F40EA" w:rsidP="00FE3D5C">
            <w:pPr>
              <w:pStyle w:val="ESBodyText"/>
              <w:spacing w:after="0"/>
              <w:rPr>
                <w:color w:val="auto"/>
                <w:sz w:val="20"/>
                <w:szCs w:val="24"/>
                <w:lang w:val="en-AU"/>
              </w:rPr>
            </w:pPr>
            <w:r w:rsidRPr="002F40EA">
              <w:rPr>
                <w:rStyle w:val="DefaultParagraphFont"/>
                <w:color w:val="auto"/>
                <w:sz w:val="20"/>
                <w:szCs w:val="24"/>
              </w:rPr>
              <w:t>Improve the engagement and wellbeing of every student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3.1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Increase % of positive responses:</w:t>
              <w:br/>
              <w:t>- parent and community involvement to 69%</w:t>
              <w:br/>
              <w:t>- maintain trust in student and parents at 72%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3.2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By the end of 2024, improve student voice and agency 72% in 2023 to 76%.</w:t>
              <w:br/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3.3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Maintain 2023 %:</w:t>
              <w:br/>
              <w:t>- teacher communication 73%</w:t>
              <w:br/>
              <w:t>- high expectations for success 95%</w:t>
              <w:br/>
              <w:br/>
              <w:t>Increase % of parents completing survey to 35% in 2024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12-month target 3.4</w:t>
            </w:r>
            <w:r w:rsidRPr="002F40EA" w:rsidR="008415C6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Decrease the % of equity funded student 30 + days absence from 33% to 28%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KIS 3.a</w:t>
            </w:r>
          </w:p>
          <w:p>
            <w:r>
              <w:rPr>
                <w:sz w:val="20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5"/>
            <w:shd w:val="clear" w:color="auto" w:fill="F8CDDB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Strengthen school sense of community, with a focus on engagement and attendance and embed the SWPBS framework including a tiered response to intervention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Embed Schoolwide Positive Behaviour Support (SWPBS) framework for maximum impact.</w:t>
              <w:br/>
              <w:t>Establish student focus group to strengthen student voice and seek feedback on school led programs, teaching and learning.</w:t>
              <w:br/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973DEE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  <w:noWrap w:val="0"/>
          </w:tcPr>
          <w:p w:rsidR="00973DE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Students will engage in explicitly taught SWPBS lessons specific to school expected behaviours in different settings.</w:t>
              <w:br/>
              <w:t>Students will increase their respectful and positive behaviours.</w:t>
              <w:br/>
              <w:t>Students will feel supported and engaged in classes and contribute to a strong classroom culture.</w:t>
              <w:br/>
              <w:t>Students will report improved opportunities for student voice and input.</w:t>
              <w:br/>
              <w:t>Teachers will plan for and implement Respectful Relationship lessons, linking to the SWPBS Behaviour Matrix.</w:t>
              <w:br/>
              <w:t>Teachers and leadership will share a common understanding of the whole school SWPBS approach.</w:t>
              <w:br/>
              <w:t>Teachers and leadership will implement and monitor SWPBS Minor &amp; Major Behaviour Flowchart.</w:t>
              <w:br/>
              <w:t>Teachers and Leadership will develop SWPBS/Respectful Relationship teaching (behaviour) resources.</w:t>
              <w:br/>
              <w:t>Leadership will embed rewards and recognition system.</w:t>
              <w:br/>
              <w:t>Leadership will activate and publish Student Behaviour Matrix.</w:t>
              <w:br/>
              <w:t xml:space="preserve">Leadership will support the continuous development, documentation and revision of whole school SWPBS approaches. </w:t>
              <w:br/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7137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  <w:gridSpan w:val="5"/>
            <w:noWrap w:val="0"/>
          </w:tcPr>
          <w:p w:rsidR="00171379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Early Indicators:</w:t>
              <w:br/>
              <w:t>SWPBS and Respectful Relationships documented, taught and embedded across the school.</w:t>
              <w:br/>
              <w:t>Effective implementation of student behaviour flowchart (Minor &amp; Major).</w:t>
              <w:br/>
              <w:t>Developed publications/SWPBS vision and matrix displayed amongst the school and wider community.</w:t>
              <w:br/>
              <w:t>Improved student attitudes and behaviours in the classroom and in the yard (as recorded on Compass).</w:t>
              <w:br/>
              <w:t>Use of data from Compass, with a focus on attendance and staff observations, chronicle entries and classroom behaviour.</w:t>
              <w:br/>
              <w:br/>
              <w:t>Late Indicators:</w:t>
              <w:br/>
              <w:t>Attendance data improvement.</w:t>
              <w:br/>
              <w:t>Behaviour data - decrease in.</w:t>
              <w:br/>
              <w:t>SWPBS established and evident within the school.</w:t>
              <w:br/>
              <w:t>Sections of Achievement Program worked through with support from TDHS.</w:t>
              <w:br/>
            </w:r>
          </w:p>
        </w:tc>
      </w:tr>
      <w:tr w:rsidTr="006C7A56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 w:rsidR="00802D4E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E1FC6" w:rsidRPr="002F40EA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 w:rsidR="00103446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 w:rsidR="00802D4E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SWPBS implementation across the school (Matrix publication and displays around the school, stickers, certificates, rewards, lesson development)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$10,000.00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Schools Mental Health Menu items will be used which may include DET funded or free items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Peer observation process for Tier 1 SWPBS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Education support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$2,000.00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Schools Mental Health Menu items will be used which may include DET funded or free items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Achievement Program implementation, professional learning and connection with TDHS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$3,000.00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Schools Mental Health Menu items will be used which may include DET funded or free items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 voice group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Student(s)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$2,000.00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Equity funding will be used</w:t>
            </w:r>
          </w:p>
        </w:tc>
      </w:tr>
      <w:tr w:rsidTr="00FA4D4A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2ACD0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 w:val="20"/>
                <w:szCs w:val="24"/>
                <w:lang w:val="en-AU"/>
              </w:rPr>
              <w:t>KIS 3.b</w:t>
            </w:r>
          </w:p>
          <w:p>
            <w:r>
              <w:rPr>
                <w:sz w:val="20"/>
              </w:rPr>
              <w:t>Responsive, tiered and contextualised approaches and strong relationships to support student learning, wellbeing and inclusion</w:t>
            </w:r>
          </w:p>
        </w:tc>
        <w:tc>
          <w:tcPr>
            <w:tcW w:w="11996" w:type="dxa"/>
            <w:gridSpan w:val="5"/>
            <w:shd w:val="clear" w:color="auto" w:fill="D2ACD0"/>
            <w:noWrap w:val="0"/>
          </w:tcPr>
          <w:p w:rsidR="00973DEE" w:rsidRPr="002F40EA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Strengthen the home, school and community partnerships to enhance student wellbeing, engagement, and inclusion</w:t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Strengthen the whole school approach towards communicating students' wellbeing needs to parents/carers.</w:t>
              <w:br/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973DEE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  <w:noWrap w:val="0"/>
          </w:tcPr>
          <w:p w:rsidR="00973DE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Students will feel supported and engaged in classrooms.</w:t>
              <w:br/>
              <w:t>Students will have strong relationships with peers &amp; teachers.</w:t>
              <w:br/>
              <w:t>Teachers will implement and model consistent routines.</w:t>
              <w:br/>
              <w:t>Teachers and leaders will implement the SWPBS and RRR program in classes.</w:t>
              <w:br/>
              <w:t>Relevant teachers and leaders will establish a preventative mentoring program including referrals process.</w:t>
              <w:br/>
              <w:t>Leadership will improve connections with the school community through parents' education sessions, e.g. Sounds-Write, Home reading, Classroom helpers.</w:t>
              <w:br/>
              <w:t>Families of at-risk students will receive regular communication and support from the school.</w:t>
              <w:br/>
              <w:br/>
              <w:br/>
              <w:br/>
              <w:br/>
              <w:br/>
              <w:br/>
            </w:r>
          </w:p>
        </w:tc>
      </w:tr>
      <w:tr w:rsidTr="005D3D69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7137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  <w:gridSpan w:val="5"/>
            <w:noWrap w:val="0"/>
          </w:tcPr>
          <w:p w:rsidR="00171379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Early Indicators:</w:t>
              <w:br/>
              <w:t>Parent attendance to education sessions.</w:t>
              <w:br/>
              <w:t>Parent engagement in 'classroom helper' capacity.</w:t>
              <w:br/>
              <w:t>Documentation of referrals to relevant services.</w:t>
              <w:br/>
              <w:t>Documentation of communication to families.</w:t>
              <w:br/>
              <w:t>Documentation of resources for wellbeing programs.</w:t>
              <w:br/>
              <w:br/>
              <w:t>Late Indicators:</w:t>
              <w:br/>
              <w:t>Improvement in SOS: (Collective responsibility &amp; Trust in students and parents).</w:t>
              <w:br/>
              <w:t>Improvement in AToSS: (Student voice and agency).</w:t>
              <w:br/>
              <w:t>Improvement in % of POS completed.</w:t>
              <w:br/>
              <w:t>Attendance Data - % of equity funded students 30 + days absence.</w:t>
            </w:r>
          </w:p>
        </w:tc>
      </w:tr>
      <w:tr w:rsidTr="006C7A56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 w:rsidR="00802D4E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E1FC6" w:rsidRPr="002F40EA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 w:rsidR="00103446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 w:rsidR="00802D4E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E1FC6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Employ a student wellbeing officer as an education support staff member.</w:t>
              <w:br/>
              <w:t xml:space="preserve"> Funded through National Student Wellbeing Program 2024 - 2027 </w:t>
              <w:br/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$20,280.00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Other funding will be used</w:t>
            </w:r>
          </w:p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Parent education sessions, e.g. Sounds-Write, Home reading, Classroom helpers.</w:t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Teacher(s)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1</w:t>
            </w:r>
          </w:p>
          <w:p>
            <w:r>
              <w:rPr>
                <w:sz w:val="20"/>
              </w:rPr>
              <w:t>to:</w:t>
              <w:br/>
              <w:t>Term 4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$0.00</w:t>
            </w:r>
          </w:p>
          <w:p/>
        </w:tc>
      </w:tr>
      <w:tr w:rsidTr="00AF3BC2">
        <w:tblPrEx>
          <w:tblW w:w="1511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6205" w:type="dxa"/>
            <w:gridSpan w:val="2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Wellbeing week activities; focusing on mental health and wellbeing.</w:t>
              <w:br/>
              <w:t xml:space="preserve">- linking with TDHS, RU OK?, </w:t>
              <w:br/>
            </w:r>
          </w:p>
        </w:tc>
        <w:tc>
          <w:tcPr>
            <w:tcW w:w="315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All staff</w:t>
            </w:r>
          </w:p>
        </w:tc>
        <w:tc>
          <w:tcPr>
            <w:tcW w:w="1530" w:type="dxa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PLP Priority</w:t>
            </w:r>
          </w:p>
        </w:tc>
        <w:tc>
          <w:tcPr>
            <w:tcW w:w="2070" w:type="dxa"/>
            <w:noWrap w:val="0"/>
          </w:tcPr>
          <w:p w:rsidR="0016685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from:</w:t>
              <w:br/>
              <w:t>Term 3</w:t>
            </w:r>
          </w:p>
          <w:p>
            <w:r>
              <w:rPr>
                <w:sz w:val="20"/>
              </w:rPr>
              <w:t>to:</w:t>
              <w:br/>
              <w:t>Term 3</w:t>
            </w:r>
          </w:p>
        </w:tc>
        <w:tc>
          <w:tcPr>
            <w:tcW w:w="2160" w:type="dxa"/>
            <w:noWrap w:val="0"/>
          </w:tcPr>
          <w:p w:rsidR="003E1FC6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$8,000.00</w:t>
            </w:r>
          </w:p>
          <w:p/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Schools Mental Health Menu items will be used which may include DET funded or free items</w:t>
            </w:r>
          </w:p>
        </w:tc>
      </w:tr>
    </w:tbl>
    <w:p w:rsidR="006307C3" w:rsidRPr="002F40EA" w:rsidP="006C7A56">
      <w:pPr>
        <w:pStyle w:val="ESBodyText"/>
        <w:rPr>
          <w:lang w:val="en-AU"/>
        </w:rPr>
      </w:pPr>
    </w:p>
    <w:p/>
    <w:p/>
    <w:sectPr w:rsidSect="00E36291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43995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3E29B5" w:rsidP="008766A4"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 w:rsidR="00B329B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Simpson Primary School (4895) - 2024 - AIP - Actions Outcomes and Activities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995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103446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1B0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5901B0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7838942</wp:posOffset>
          </wp:positionH>
          <wp:positionV relativeFrom="paragraph">
            <wp:posOffset>-331546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1B0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5901B0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540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01E2A-48B7-4A50-B243-C9C7FE40A1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Matthew Crilly</cp:lastModifiedBy>
  <cp:revision>84</cp:revision>
  <dcterms:created xsi:type="dcterms:W3CDTF">2017-09-11T05:00:00Z</dcterms:created>
  <dcterms:modified xsi:type="dcterms:W3CDTF">2024-01-31T05:54:00Z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